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9784" w14:textId="5E572710" w:rsidR="00C16CD7" w:rsidRDefault="00392BAE" w:rsidP="008C7C00">
      <w:pPr>
        <w:pStyle w:val="Titre1"/>
      </w:pPr>
      <w:bookmarkStart w:id="0" w:name="_GoBack"/>
      <w:bookmarkEnd w:id="0"/>
      <w:r>
        <w:t xml:space="preserve">Contexte et objectif de </w:t>
      </w:r>
      <w:r w:rsidR="008C7C00">
        <w:t>l’appel</w:t>
      </w:r>
      <w:r w:rsidR="00EA7CAA">
        <w:t xml:space="preserve"> </w:t>
      </w:r>
      <w:r w:rsidR="00C15546">
        <w:t>à Lettre d’I</w:t>
      </w:r>
      <w:r w:rsidR="00EA7CAA">
        <w:t xml:space="preserve">ntention pour les </w:t>
      </w:r>
      <w:r w:rsidR="00C15546">
        <w:t>Actions d’A</w:t>
      </w:r>
      <w:r w:rsidR="00EA7CAA">
        <w:t>morçage</w:t>
      </w:r>
    </w:p>
    <w:p w14:paraId="61EBB373" w14:textId="4A4442B2" w:rsidR="00161523" w:rsidRDefault="00E50DBD" w:rsidP="00161523">
      <w:pPr>
        <w:pStyle w:val="Paragraphedeliste"/>
        <w:ind w:left="0"/>
      </w:pPr>
      <w:r>
        <w:t>Le programme Recherche à Risque</w:t>
      </w:r>
      <w:r w:rsidR="00161523">
        <w:t xml:space="preserve"> du CEA a pour objectif de soutenir des projets de recherche exploratoire, qui présentent un fort potentiel de rupture scientifique ou technologique, sans exigence de finalité à court ou moyen terme</w:t>
      </w:r>
      <w:r w:rsidR="00F006EA">
        <w:t xml:space="preserve"> et</w:t>
      </w:r>
      <w:r w:rsidR="00161523">
        <w:t xml:space="preserve"> </w:t>
      </w:r>
      <w:r w:rsidR="00F006EA">
        <w:t>sans exigence d’atteindre le résultat visé</w:t>
      </w:r>
      <w:r w:rsidR="00161523">
        <w:t>. Il s’agit donc d’approches originales, plus difficilement couvertes par les appels d’offre</w:t>
      </w:r>
      <w:r w:rsidR="00B63BB0">
        <w:t>s</w:t>
      </w:r>
      <w:r w:rsidR="00161523">
        <w:t xml:space="preserve"> disponibles </w:t>
      </w:r>
      <w:r w:rsidR="00FA02D5">
        <w:t>par ailleurs</w:t>
      </w:r>
      <w:r w:rsidR="00161523">
        <w:t>.</w:t>
      </w:r>
    </w:p>
    <w:p w14:paraId="2A50339D" w14:textId="6CCAD067" w:rsidR="00161523" w:rsidRDefault="00161523" w:rsidP="00161523">
      <w:r>
        <w:t xml:space="preserve">Le programme s’articule autour de 2 types </w:t>
      </w:r>
      <w:r w:rsidR="00883441">
        <w:t>d’actions</w:t>
      </w:r>
      <w:r>
        <w:t xml:space="preserve"> : </w:t>
      </w:r>
    </w:p>
    <w:p w14:paraId="61D8C75B" w14:textId="6ADC17EA" w:rsidR="00161523" w:rsidRDefault="00C15546" w:rsidP="00161523">
      <w:pPr>
        <w:pStyle w:val="Paragraphedeliste"/>
        <w:numPr>
          <w:ilvl w:val="0"/>
          <w:numId w:val="5"/>
        </w:numPr>
        <w:spacing w:after="160" w:line="259" w:lineRule="auto"/>
      </w:pPr>
      <w:r>
        <w:rPr>
          <w:b/>
          <w:i/>
        </w:rPr>
        <w:t>Des Projets S</w:t>
      </w:r>
      <w:r w:rsidR="00161523" w:rsidRPr="004D62F6">
        <w:rPr>
          <w:b/>
          <w:i/>
        </w:rPr>
        <w:t>tructurants</w:t>
      </w:r>
      <w:r w:rsidR="00161523">
        <w:t xml:space="preserve">, </w:t>
      </w:r>
      <w:r w:rsidR="00883441">
        <w:t>centré</w:t>
      </w:r>
      <w:r w:rsidR="00FA02D5">
        <w:t>s</w:t>
      </w:r>
      <w:r w:rsidR="00883441">
        <w:t xml:space="preserve"> sur un objectif </w:t>
      </w:r>
      <w:r w:rsidR="00F006EA">
        <w:t>ciblé</w:t>
      </w:r>
      <w:r w:rsidR="00555DD1">
        <w:t xml:space="preserve">, </w:t>
      </w:r>
      <w:r w:rsidR="00883441">
        <w:t>ambitieu</w:t>
      </w:r>
      <w:r w:rsidR="00555DD1">
        <w:t xml:space="preserve">x, avec </w:t>
      </w:r>
      <w:r w:rsidR="00883441">
        <w:t>une approche innovante</w:t>
      </w:r>
      <w:r w:rsidR="00C51625">
        <w:t xml:space="preserve">, </w:t>
      </w:r>
      <w:r w:rsidR="00161523">
        <w:t>dotés de moyens suffisants</w:t>
      </w:r>
      <w:r w:rsidR="00883441">
        <w:rPr>
          <w:rStyle w:val="Appelnotedebasdep"/>
        </w:rPr>
        <w:footnoteReference w:id="1"/>
      </w:r>
      <w:r w:rsidR="00883441">
        <w:t xml:space="preserve"> pour associer</w:t>
      </w:r>
      <w:r w:rsidR="00161523">
        <w:t xml:space="preserve"> </w:t>
      </w:r>
      <w:r w:rsidR="00883441">
        <w:t xml:space="preserve">les partenaires clefs et </w:t>
      </w:r>
      <w:r w:rsidR="00161523">
        <w:t xml:space="preserve">permettre une réelle rupture en cas de succès. </w:t>
      </w:r>
      <w:r w:rsidR="00F006EA">
        <w:t xml:space="preserve">Il ne s’agit </w:t>
      </w:r>
      <w:r w:rsidR="00115BDE">
        <w:t xml:space="preserve">donc </w:t>
      </w:r>
      <w:r w:rsidR="00F006EA">
        <w:t>pas de proposer un programme</w:t>
      </w:r>
      <w:r w:rsidR="00115BDE">
        <w:t xml:space="preserve"> large et s’attaquant à plusieurs verrous simultanément. </w:t>
      </w:r>
    </w:p>
    <w:p w14:paraId="76B80B05" w14:textId="0D1AAB3A" w:rsidR="00446E37" w:rsidRDefault="00883441" w:rsidP="008C7C00">
      <w:pPr>
        <w:pStyle w:val="Paragraphedeliste"/>
        <w:numPr>
          <w:ilvl w:val="0"/>
          <w:numId w:val="5"/>
        </w:numPr>
        <w:spacing w:after="160" w:line="259" w:lineRule="auto"/>
      </w:pPr>
      <w:r w:rsidRPr="004D62F6">
        <w:rPr>
          <w:b/>
          <w:i/>
        </w:rPr>
        <w:t xml:space="preserve">Des </w:t>
      </w:r>
      <w:r w:rsidR="00C15546">
        <w:rPr>
          <w:b/>
          <w:i/>
        </w:rPr>
        <w:t>A</w:t>
      </w:r>
      <w:r>
        <w:rPr>
          <w:b/>
          <w:i/>
        </w:rPr>
        <w:t>ctions</w:t>
      </w:r>
      <w:r w:rsidRPr="004D62F6">
        <w:rPr>
          <w:b/>
          <w:i/>
        </w:rPr>
        <w:t xml:space="preserve"> </w:t>
      </w:r>
      <w:r w:rsidR="00C15546">
        <w:rPr>
          <w:b/>
          <w:i/>
        </w:rPr>
        <w:t>d’A</w:t>
      </w:r>
      <w:r w:rsidR="00115BDE">
        <w:rPr>
          <w:b/>
          <w:i/>
        </w:rPr>
        <w:t>morçage</w:t>
      </w:r>
      <w:r>
        <w:t>, doté</w:t>
      </w:r>
      <w:r w:rsidR="00C51625">
        <w:t>e</w:t>
      </w:r>
      <w:r>
        <w:t xml:space="preserve">s de </w:t>
      </w:r>
      <w:r w:rsidR="00B41CC3">
        <w:t xml:space="preserve">50 à </w:t>
      </w:r>
      <w:r>
        <w:t xml:space="preserve">100 k€ en moyenne pour 12 à 18 mois et ayant pour objectif </w:t>
      </w:r>
      <w:r w:rsidR="00115BDE">
        <w:t>de</w:t>
      </w:r>
      <w:r>
        <w:t xml:space="preserve"> faire germer</w:t>
      </w:r>
      <w:r w:rsidR="00115BDE">
        <w:t xml:space="preserve"> </w:t>
      </w:r>
      <w:r w:rsidR="00E30AEC">
        <w:t>une</w:t>
      </w:r>
      <w:r>
        <w:t xml:space="preserve"> </w:t>
      </w:r>
      <w:r w:rsidR="00E30AEC">
        <w:t>proposition</w:t>
      </w:r>
      <w:r w:rsidR="008C7C00">
        <w:t xml:space="preserve"> de </w:t>
      </w:r>
      <w:r w:rsidR="00E50DBD">
        <w:t>P</w:t>
      </w:r>
      <w:r w:rsidR="00E30AEC">
        <w:t>rojet</w:t>
      </w:r>
      <w:r>
        <w:t xml:space="preserve"> </w:t>
      </w:r>
      <w:r w:rsidR="00E50DBD">
        <w:t>S</w:t>
      </w:r>
      <w:r w:rsidR="008C7C00">
        <w:t>tructurant</w:t>
      </w:r>
      <w:r w:rsidR="00115BDE">
        <w:rPr>
          <w:rStyle w:val="Appelnotedebasdep"/>
        </w:rPr>
        <w:footnoteReference w:id="2"/>
      </w:r>
      <w:r w:rsidR="00115BDE">
        <w:t>.</w:t>
      </w:r>
      <w:r w:rsidR="008C7C00">
        <w:t xml:space="preserve"> Pour favoriser la transversalité il est </w:t>
      </w:r>
      <w:r w:rsidR="00CA1169">
        <w:t xml:space="preserve">vivement encouragé </w:t>
      </w:r>
      <w:r w:rsidR="008C7C00">
        <w:t xml:space="preserve">que les actions d’amorçage soient proposées conjointement par </w:t>
      </w:r>
      <w:r w:rsidR="00F3289D">
        <w:t xml:space="preserve">au moins </w:t>
      </w:r>
      <w:r w:rsidR="008C7C00">
        <w:t>deux</w:t>
      </w:r>
      <w:r w:rsidR="008C7C00" w:rsidRPr="006C7E96">
        <w:t xml:space="preserve"> porteurs issus </w:t>
      </w:r>
      <w:r w:rsidR="00F3289D">
        <w:t>d’</w:t>
      </w:r>
      <w:r w:rsidR="008C7C00" w:rsidRPr="006C7E96">
        <w:t>entités</w:t>
      </w:r>
      <w:r w:rsidR="00F3289D">
        <w:t xml:space="preserve"> distinctes</w:t>
      </w:r>
      <w:r w:rsidR="008C7C00">
        <w:t>,</w:t>
      </w:r>
      <w:r w:rsidR="008C7C00" w:rsidRPr="006C7E96">
        <w:t xml:space="preserve"> </w:t>
      </w:r>
      <w:r w:rsidR="008C7C00">
        <w:t>l’une</w:t>
      </w:r>
      <w:r w:rsidR="008C7C00" w:rsidRPr="006C7E96">
        <w:t xml:space="preserve"> CEA et </w:t>
      </w:r>
      <w:r w:rsidR="008C7C00">
        <w:t xml:space="preserve">l’autre </w:t>
      </w:r>
      <w:r w:rsidR="008C7C00" w:rsidRPr="006C7E96">
        <w:t>hors CEA</w:t>
      </w:r>
      <w:r w:rsidR="008C7C00">
        <w:t xml:space="preserve">. </w:t>
      </w:r>
    </w:p>
    <w:p w14:paraId="0D8BBB47" w14:textId="0E981449" w:rsidR="008C7C00" w:rsidRPr="00EA7CAA" w:rsidRDefault="007F220D" w:rsidP="008C7C00">
      <w:pPr>
        <w:rPr>
          <w:u w:val="single"/>
        </w:rPr>
      </w:pPr>
      <w:r w:rsidRPr="00EA7CAA">
        <w:rPr>
          <w:b/>
          <w:u w:val="single"/>
        </w:rPr>
        <w:t xml:space="preserve">Le présent </w:t>
      </w:r>
      <w:r w:rsidR="008C7C00" w:rsidRPr="00EA7CAA">
        <w:rPr>
          <w:b/>
          <w:u w:val="single"/>
        </w:rPr>
        <w:t>appel porte sur c</w:t>
      </w:r>
      <w:r w:rsidRPr="00EA7CAA">
        <w:rPr>
          <w:b/>
          <w:u w:val="single"/>
        </w:rPr>
        <w:t>es</w:t>
      </w:r>
      <w:r w:rsidR="00C15546">
        <w:rPr>
          <w:b/>
          <w:u w:val="single"/>
        </w:rPr>
        <w:t xml:space="preserve"> Actions d’A</w:t>
      </w:r>
      <w:r w:rsidR="00392BAE" w:rsidRPr="00EA7CAA">
        <w:rPr>
          <w:b/>
          <w:u w:val="single"/>
        </w:rPr>
        <w:t>morçage</w:t>
      </w:r>
      <w:r w:rsidR="008C7C00" w:rsidRPr="00EA7CAA">
        <w:rPr>
          <w:u w:val="single"/>
        </w:rPr>
        <w:t>.</w:t>
      </w:r>
    </w:p>
    <w:p w14:paraId="0883A599" w14:textId="32B590E7" w:rsidR="008B27C9" w:rsidRDefault="008B27C9" w:rsidP="000B1639"/>
    <w:p w14:paraId="38916A23" w14:textId="5C130F3A" w:rsidR="00392BAE" w:rsidRDefault="00392BAE" w:rsidP="008C7C00">
      <w:pPr>
        <w:pStyle w:val="Titre1"/>
      </w:pPr>
      <w:r>
        <w:t>Les modalités</w:t>
      </w:r>
      <w:r w:rsidR="00D776E7">
        <w:t xml:space="preserve"> de candidature</w:t>
      </w:r>
    </w:p>
    <w:p w14:paraId="3DA19E73" w14:textId="7FCED48E" w:rsidR="00B862BE" w:rsidRDefault="00B862BE">
      <w:r>
        <w:t xml:space="preserve">La candidature à </w:t>
      </w:r>
      <w:r w:rsidR="008C7C00">
        <w:t>cet appel</w:t>
      </w:r>
      <w:r>
        <w:t xml:space="preserve"> se fait par une </w:t>
      </w:r>
      <w:r w:rsidR="00C15546">
        <w:t>L</w:t>
      </w:r>
      <w:r w:rsidR="00B16FE7">
        <w:t>ettre</w:t>
      </w:r>
      <w:r w:rsidR="00C15546">
        <w:t xml:space="preserve"> d’I</w:t>
      </w:r>
      <w:r>
        <w:t>ntention</w:t>
      </w:r>
      <w:r w:rsidR="004A73C0">
        <w:t xml:space="preserve"> à compléter</w:t>
      </w:r>
      <w:r w:rsidR="008C7C00">
        <w:t xml:space="preserve"> suivant le gabarit joint</w:t>
      </w:r>
      <w:r>
        <w:t xml:space="preserve"> </w:t>
      </w:r>
      <w:r w:rsidR="004A73C0">
        <w:t>et ses recommandations</w:t>
      </w:r>
      <w:r>
        <w:t>.</w:t>
      </w:r>
      <w:r w:rsidR="004A73C0">
        <w:t xml:space="preserve"> </w:t>
      </w:r>
      <w:r>
        <w:t xml:space="preserve">La date limite d’envoi de la </w:t>
      </w:r>
      <w:r w:rsidR="00EA7CAA">
        <w:t>Lettre d’I</w:t>
      </w:r>
      <w:r>
        <w:t xml:space="preserve">ntention </w:t>
      </w:r>
      <w:r w:rsidR="00EA7CAA">
        <w:t xml:space="preserve">par le directeur d’unité d’un des porteurs </w:t>
      </w:r>
      <w:r>
        <w:t xml:space="preserve">est le </w:t>
      </w:r>
      <w:r w:rsidR="00C27123">
        <w:t>24 mai</w:t>
      </w:r>
      <w:r>
        <w:t xml:space="preserve"> à l’adresse email </w:t>
      </w:r>
      <w:hyperlink r:id="rId8" w:history="1">
        <w:r w:rsidR="00DD5785" w:rsidRPr="00B95861">
          <w:rPr>
            <w:rStyle w:val="Lienhypertexte"/>
          </w:rPr>
          <w:t>amorcage-rar@cea.fr</w:t>
        </w:r>
      </w:hyperlink>
      <w:r>
        <w:t xml:space="preserve">. </w:t>
      </w:r>
    </w:p>
    <w:p w14:paraId="7C488488" w14:textId="77777777" w:rsidR="00B862BE" w:rsidRDefault="00B862BE"/>
    <w:p w14:paraId="05113EAF" w14:textId="3131C879" w:rsidR="00EA0341" w:rsidRDefault="00EA0341" w:rsidP="008C7C00">
      <w:pPr>
        <w:pStyle w:val="Titre1"/>
      </w:pPr>
      <w:r>
        <w:t xml:space="preserve">Les principales caractéristiques </w:t>
      </w:r>
      <w:r w:rsidR="00D776E7">
        <w:t xml:space="preserve">de </w:t>
      </w:r>
      <w:r w:rsidR="00E30AEC">
        <w:t>l’appel</w:t>
      </w:r>
    </w:p>
    <w:p w14:paraId="019E7AFF" w14:textId="77777777" w:rsidR="00B862BE" w:rsidRDefault="00B862BE" w:rsidP="00B862BE">
      <w:pPr>
        <w:pStyle w:val="Titre2"/>
      </w:pPr>
      <w:r>
        <w:t xml:space="preserve">La </w:t>
      </w:r>
      <w:r w:rsidR="004A73C0">
        <w:t xml:space="preserve">durée des projets </w:t>
      </w:r>
    </w:p>
    <w:p w14:paraId="37E13DB0" w14:textId="4B4A0D13" w:rsidR="004A73C0" w:rsidRDefault="004A73C0" w:rsidP="004A73C0">
      <w:r>
        <w:t xml:space="preserve">La durée des projets est </w:t>
      </w:r>
      <w:r w:rsidR="008C7C00">
        <w:t>de 12 à 18 mois</w:t>
      </w:r>
      <w:r w:rsidR="00474113">
        <w:rPr>
          <w:rStyle w:val="Appelnotedebasdep"/>
        </w:rPr>
        <w:footnoteReference w:id="3"/>
      </w:r>
      <w:r>
        <w:t>.</w:t>
      </w:r>
    </w:p>
    <w:p w14:paraId="5708537E" w14:textId="77777777" w:rsidR="004A73C0" w:rsidRDefault="004A73C0" w:rsidP="004A73C0"/>
    <w:p w14:paraId="7577E3CF" w14:textId="77777777" w:rsidR="004A73C0" w:rsidRDefault="004A73C0" w:rsidP="004A73C0">
      <w:pPr>
        <w:pStyle w:val="Titre2"/>
      </w:pPr>
      <w:r>
        <w:t>Le financement des projets et l’aide demandée</w:t>
      </w:r>
    </w:p>
    <w:p w14:paraId="136B70A4" w14:textId="0C7716E4" w:rsidR="004A73C0" w:rsidRDefault="004A73C0" w:rsidP="004A73C0">
      <w:r>
        <w:t xml:space="preserve">L’aide demandée </w:t>
      </w:r>
      <w:r w:rsidR="008C7C00">
        <w:t xml:space="preserve">est de </w:t>
      </w:r>
      <w:r w:rsidR="000447ED">
        <w:t xml:space="preserve">50 à </w:t>
      </w:r>
      <w:r w:rsidR="008C7C00">
        <w:t>1</w:t>
      </w:r>
      <w:r>
        <w:t>00 k€</w:t>
      </w:r>
      <w:r w:rsidR="00E30AEC">
        <w:t xml:space="preserve"> en moyenne</w:t>
      </w:r>
      <w:r>
        <w:t>. Cette aide peut servir à tous types de financement</w:t>
      </w:r>
      <w:r w:rsidR="00A625B6">
        <w:t>s</w:t>
      </w:r>
      <w:r>
        <w:t xml:space="preserve"> éligible</w:t>
      </w:r>
      <w:r w:rsidR="00A625B6">
        <w:t>s</w:t>
      </w:r>
      <w:r>
        <w:t xml:space="preserve"> dans le cadre du programme : </w:t>
      </w:r>
      <w:r w:rsidR="008C7C00">
        <w:t>animation, rencontre</w:t>
      </w:r>
      <w:r w:rsidR="00E30AEC">
        <w:t>s</w:t>
      </w:r>
      <w:r w:rsidR="008C7C00">
        <w:t xml:space="preserve">, </w:t>
      </w:r>
      <w:r w:rsidR="00A625B6">
        <w:t xml:space="preserve">personnels </w:t>
      </w:r>
      <w:r>
        <w:t>non permanents dont post-docs, petits équipements, approvisionnement</w:t>
      </w:r>
      <w:r w:rsidR="0020460B">
        <w:t>, prestation</w:t>
      </w:r>
      <w:r>
        <w:t xml:space="preserve"> et fonctionnement.</w:t>
      </w:r>
    </w:p>
    <w:p w14:paraId="22C113A7" w14:textId="77777777" w:rsidR="004A73C0" w:rsidRDefault="004A73C0" w:rsidP="004A73C0"/>
    <w:p w14:paraId="641BC58F" w14:textId="77777777" w:rsidR="004A73C0" w:rsidRDefault="004A73C0" w:rsidP="004A73C0">
      <w:pPr>
        <w:pStyle w:val="Titre2"/>
      </w:pPr>
      <w:r>
        <w:t xml:space="preserve">Les objectifs scientifiques </w:t>
      </w:r>
    </w:p>
    <w:p w14:paraId="1876DB43" w14:textId="47B83D6C" w:rsidR="00EA0341" w:rsidRDefault="00C15546" w:rsidP="00EA0341">
      <w:r>
        <w:t>Les A</w:t>
      </w:r>
      <w:r w:rsidR="00EA0341">
        <w:t xml:space="preserve">ctions </w:t>
      </w:r>
      <w:r>
        <w:t>d’A</w:t>
      </w:r>
      <w:r w:rsidR="00E30AEC">
        <w:t xml:space="preserve">morçage </w:t>
      </w:r>
      <w:r>
        <w:t>du programme Recherche à Risque </w:t>
      </w:r>
      <w:r w:rsidR="00EA0341">
        <w:t xml:space="preserve">ont pour objet la réalisation d’actions </w:t>
      </w:r>
      <w:r w:rsidR="00E30AEC">
        <w:t>explor</w:t>
      </w:r>
      <w:r w:rsidR="000C2E38">
        <w:t>ant</w:t>
      </w:r>
      <w:r w:rsidR="00E30AEC">
        <w:t xml:space="preserve"> une idée de rupture pour faire ger</w:t>
      </w:r>
      <w:r w:rsidR="00E50DBD">
        <w:t>mer à terme une proposition de Projet S</w:t>
      </w:r>
      <w:r w:rsidR="00E30AEC">
        <w:t>tructurant, l</w:t>
      </w:r>
      <w:r w:rsidR="00EA0341">
        <w:t>a profondeur de la rupture s’appréciant par l’impact en cas de succès</w:t>
      </w:r>
      <w:r w:rsidR="000C2E38">
        <w:rPr>
          <w:rStyle w:val="Appelnotedebasdep"/>
        </w:rPr>
        <w:footnoteReference w:id="4"/>
      </w:r>
      <w:r w:rsidR="00EA0341">
        <w:t xml:space="preserve">. </w:t>
      </w:r>
    </w:p>
    <w:p w14:paraId="22C66ACA" w14:textId="2295863C" w:rsidR="00EA0341" w:rsidRDefault="00EA0341" w:rsidP="00EA0341">
      <w:r>
        <w:t>Ces actions s’inscrivent dans les missions</w:t>
      </w:r>
      <w:r w:rsidR="00E30AEC">
        <w:t xml:space="preserve"> et programmes</w:t>
      </w:r>
      <w:r>
        <w:t xml:space="preserve"> du CEA : énergie, numérique, </w:t>
      </w:r>
      <w:r w:rsidR="00E30AEC">
        <w:t>technologies pour la médecine du futur et recherche fondamentale en science de la matière et science du vivant</w:t>
      </w:r>
      <w:r>
        <w:t>.</w:t>
      </w:r>
    </w:p>
    <w:p w14:paraId="30FB8BDE" w14:textId="77777777" w:rsidR="00EA0341" w:rsidRDefault="00EA0341" w:rsidP="00EA0341"/>
    <w:p w14:paraId="3D319E3D" w14:textId="77777777" w:rsidR="00EA0341" w:rsidRDefault="00EA0341" w:rsidP="00EA0341">
      <w:pPr>
        <w:pStyle w:val="Titre2"/>
      </w:pPr>
      <w:r>
        <w:t>Les porteurs et le partenariat</w:t>
      </w:r>
    </w:p>
    <w:p w14:paraId="339054CA" w14:textId="5E0654C3" w:rsidR="00446E37" w:rsidRDefault="00C15546">
      <w:r>
        <w:t>Les Actions d’A</w:t>
      </w:r>
      <w:r w:rsidR="00446E37">
        <w:t>morçage sont</w:t>
      </w:r>
      <w:r w:rsidR="00CA1169">
        <w:t>, dans la mesure du possible,</w:t>
      </w:r>
      <w:r w:rsidR="00446E37">
        <w:t xml:space="preserve"> portées par </w:t>
      </w:r>
      <w:r w:rsidR="00F3289D">
        <w:t xml:space="preserve">au moins deux </w:t>
      </w:r>
      <w:r w:rsidR="00E30AEC">
        <w:t>porteur</w:t>
      </w:r>
      <w:r w:rsidR="00FA02D5">
        <w:t>s</w:t>
      </w:r>
      <w:r w:rsidR="00E30AEC">
        <w:t xml:space="preserve"> (</w:t>
      </w:r>
      <w:r w:rsidR="00446E37">
        <w:t>PI</w:t>
      </w:r>
      <w:r w:rsidR="00E30AEC">
        <w:t>)</w:t>
      </w:r>
      <w:r w:rsidR="00446E37">
        <w:t xml:space="preserve"> d’entités de recherche </w:t>
      </w:r>
      <w:r w:rsidR="00B862BE">
        <w:t>distinctes</w:t>
      </w:r>
      <w:r w:rsidR="00446E37">
        <w:t xml:space="preserve"> dont une du CEA</w:t>
      </w:r>
      <w:r w:rsidR="00446E37" w:rsidRPr="00446E37">
        <w:t xml:space="preserve"> </w:t>
      </w:r>
      <w:r w:rsidR="00E30AEC">
        <w:t>et une hors CEA</w:t>
      </w:r>
      <w:r w:rsidR="00446E37">
        <w:t xml:space="preserve">. Il s’agit de croiser des champs </w:t>
      </w:r>
      <w:r w:rsidR="00E30AEC">
        <w:t>scientifiques ou technologiques</w:t>
      </w:r>
      <w:r w:rsidR="00446E37">
        <w:t xml:space="preserve"> différents </w:t>
      </w:r>
      <w:r w:rsidR="00F3698C">
        <w:t xml:space="preserve">ou </w:t>
      </w:r>
      <w:r w:rsidR="00446E37">
        <w:t>d’agréger des compétences dans l’objectif de préparer la levée d’un v</w:t>
      </w:r>
      <w:r w:rsidR="00E50DBD">
        <w:t>errou dans le cadre d’un futur P</w:t>
      </w:r>
      <w:r w:rsidR="00446E37">
        <w:t xml:space="preserve">rojet </w:t>
      </w:r>
      <w:r w:rsidR="00E50DBD">
        <w:t>S</w:t>
      </w:r>
      <w:r w:rsidR="00E30AEC">
        <w:t>tructurant du programme</w:t>
      </w:r>
      <w:r w:rsidR="00446E37">
        <w:t xml:space="preserve"> </w:t>
      </w:r>
      <w:r w:rsidR="00E50DBD">
        <w:t>Recherche à Risque</w:t>
      </w:r>
      <w:r w:rsidR="00000172">
        <w:t xml:space="preserve"> </w:t>
      </w:r>
      <w:r w:rsidR="00E30AEC">
        <w:t>du CEA</w:t>
      </w:r>
      <w:r w:rsidR="00446E37">
        <w:t>.</w:t>
      </w:r>
    </w:p>
    <w:p w14:paraId="43119FED" w14:textId="072DA626" w:rsidR="00446E37" w:rsidRDefault="00446E37"/>
    <w:p w14:paraId="688C13B2" w14:textId="1C103F03" w:rsidR="0070348C" w:rsidRDefault="00C15546" w:rsidP="0070348C">
      <w:pPr>
        <w:pStyle w:val="Titre2"/>
      </w:pPr>
      <w:r>
        <w:lastRenderedPageBreak/>
        <w:t>Recensement des Actions d’A</w:t>
      </w:r>
      <w:r w:rsidR="0070348C">
        <w:t xml:space="preserve">morçage </w:t>
      </w:r>
    </w:p>
    <w:p w14:paraId="7D4BC6FC" w14:textId="6D330B26" w:rsidR="000B1639" w:rsidRDefault="00C15546" w:rsidP="0070348C">
      <w:r>
        <w:t>Les Actions d’A</w:t>
      </w:r>
      <w:r w:rsidR="0070348C">
        <w:t xml:space="preserve">morçage </w:t>
      </w:r>
      <w:r w:rsidR="000B1639" w:rsidRPr="000B1639">
        <w:t xml:space="preserve">sont </w:t>
      </w:r>
      <w:r w:rsidR="0070348C" w:rsidRPr="000B1639">
        <w:t>recensées</w:t>
      </w:r>
      <w:r w:rsidR="000B1639" w:rsidRPr="000B1639">
        <w:t xml:space="preserve"> par les responsable</w:t>
      </w:r>
      <w:r w:rsidR="0070348C">
        <w:t xml:space="preserve">s d’unité des 3 établissements partenaires – le CEA, l’Université Paris Saclay et de l’Université Grenoble Alpes –  </w:t>
      </w:r>
      <w:r w:rsidR="000B1639" w:rsidRPr="000B1639">
        <w:t xml:space="preserve">en favorisant les partenariats croisés. </w:t>
      </w:r>
    </w:p>
    <w:p w14:paraId="384B6089" w14:textId="77777777" w:rsidR="0070348C" w:rsidRDefault="0070348C" w:rsidP="0070348C"/>
    <w:p w14:paraId="16311912" w14:textId="77777777" w:rsidR="00392BAE" w:rsidRDefault="00392BAE" w:rsidP="00B16FE7">
      <w:pPr>
        <w:pStyle w:val="Titre2"/>
      </w:pPr>
      <w:r>
        <w:t xml:space="preserve">La sélection </w:t>
      </w:r>
      <w:r w:rsidR="00932303">
        <w:t>(mode d’examen et calendrier)</w:t>
      </w:r>
    </w:p>
    <w:p w14:paraId="749B9670" w14:textId="05656019" w:rsidR="00392BAE" w:rsidRDefault="00C15546">
      <w:r>
        <w:t>Les Lettres d’I</w:t>
      </w:r>
      <w:r w:rsidR="00B16FE7">
        <w:t xml:space="preserve">ntention font l’objet d’un examen par </w:t>
      </w:r>
      <w:r w:rsidR="000B1639" w:rsidRPr="000B1639">
        <w:t xml:space="preserve">le </w:t>
      </w:r>
      <w:r w:rsidR="007A5E6D">
        <w:t>B</w:t>
      </w:r>
      <w:r w:rsidR="00B16FE7">
        <w:t xml:space="preserve">ureau </w:t>
      </w:r>
      <w:r w:rsidR="000B1639">
        <w:t>du programme</w:t>
      </w:r>
      <w:r w:rsidR="00992E74">
        <w:t xml:space="preserve">, qui peut s’appuyer sur l’avis de personnalités scientifiques </w:t>
      </w:r>
      <w:proofErr w:type="gramStart"/>
      <w:r w:rsidR="00992E74">
        <w:t>extérieures.</w:t>
      </w:r>
      <w:r w:rsidR="00B16FE7">
        <w:t>.</w:t>
      </w:r>
      <w:proofErr w:type="gramEnd"/>
      <w:r w:rsidR="000B1639">
        <w:t xml:space="preserve"> </w:t>
      </w:r>
      <w:r w:rsidR="0070348C">
        <w:t>A la suite de cet avis, l</w:t>
      </w:r>
      <w:r w:rsidR="000B1639">
        <w:t xml:space="preserve">a sélection </w:t>
      </w:r>
      <w:r w:rsidR="00A90804">
        <w:t xml:space="preserve">est </w:t>
      </w:r>
      <w:r w:rsidR="00B85E6F">
        <w:t xml:space="preserve">validée </w:t>
      </w:r>
      <w:r w:rsidR="000B1639" w:rsidRPr="000B1639">
        <w:t xml:space="preserve">par le </w:t>
      </w:r>
      <w:r w:rsidR="007A5E6D">
        <w:t>C</w:t>
      </w:r>
      <w:r w:rsidR="000B1639" w:rsidRPr="000B1639">
        <w:t xml:space="preserve">omité de </w:t>
      </w:r>
      <w:r w:rsidR="0070348C">
        <w:t>pilotage</w:t>
      </w:r>
      <w:r w:rsidR="000B1639">
        <w:t xml:space="preserve"> du programme</w:t>
      </w:r>
      <w:r w:rsidR="0070348C">
        <w:t xml:space="preserve"> qui associe la direction CEA et celles des deux universités partenaires. </w:t>
      </w:r>
      <w:r w:rsidR="000B1639">
        <w:t xml:space="preserve">  </w:t>
      </w:r>
    </w:p>
    <w:p w14:paraId="32617B00" w14:textId="7780A1BD" w:rsidR="00FC30C5" w:rsidRDefault="00A90804">
      <w:r>
        <w:t>Pour la première campagne en 2024, l</w:t>
      </w:r>
      <w:r w:rsidR="00FC30C5">
        <w:t>e</w:t>
      </w:r>
      <w:r w:rsidR="00FA02D5">
        <w:t>s</w:t>
      </w:r>
      <w:r w:rsidR="00FC30C5">
        <w:t xml:space="preserve"> résultat</w:t>
      </w:r>
      <w:r w:rsidR="00FA02D5">
        <w:t>s</w:t>
      </w:r>
      <w:r w:rsidR="00FC30C5">
        <w:t xml:space="preserve"> de</w:t>
      </w:r>
      <w:r w:rsidR="008B27C9">
        <w:t xml:space="preserve"> cet</w:t>
      </w:r>
      <w:r w:rsidR="00FC30C5">
        <w:t xml:space="preserve"> examen seront transmis aux porteurs le </w:t>
      </w:r>
      <w:r w:rsidR="00685905">
        <w:t>1</w:t>
      </w:r>
      <w:r w:rsidR="00685905" w:rsidRPr="00E66516">
        <w:rPr>
          <w:vertAlign w:val="superscript"/>
        </w:rPr>
        <w:t>er</w:t>
      </w:r>
      <w:r w:rsidR="00685905">
        <w:t xml:space="preserve"> juillet</w:t>
      </w:r>
      <w:r>
        <w:t xml:space="preserve"> 2024</w:t>
      </w:r>
      <w:r w:rsidR="00FC30C5">
        <w:t xml:space="preserve">. Les </w:t>
      </w:r>
      <w:r w:rsidR="00932303">
        <w:t>actions</w:t>
      </w:r>
      <w:r w:rsidR="00FC30C5">
        <w:t xml:space="preserve"> retenu</w:t>
      </w:r>
      <w:r w:rsidR="00932303">
        <w:t>e</w:t>
      </w:r>
      <w:r w:rsidR="00FC30C5">
        <w:t xml:space="preserve">s pourront démarrer à partir </w:t>
      </w:r>
      <w:r w:rsidR="00685905">
        <w:t>de cette date</w:t>
      </w:r>
      <w:r w:rsidR="00FC30C5">
        <w:t>.</w:t>
      </w:r>
      <w:r w:rsidR="00932303">
        <w:t xml:space="preserve"> Les actions non retenues pourront faire l’objet d’un deuxième dépôt sur la base des recommandations reçues.</w:t>
      </w:r>
    </w:p>
    <w:p w14:paraId="60B86CE4" w14:textId="77777777" w:rsidR="00FC30C5" w:rsidRDefault="00FC30C5"/>
    <w:p w14:paraId="1E364205" w14:textId="2F8E7AEB" w:rsidR="00FC30C5" w:rsidRDefault="00C15546" w:rsidP="00FC30C5">
      <w:pPr>
        <w:pStyle w:val="Titre2"/>
      </w:pPr>
      <w:r>
        <w:t>La réalisation des Actions d’A</w:t>
      </w:r>
      <w:r w:rsidR="00FC30C5">
        <w:t>morçage retenue</w:t>
      </w:r>
    </w:p>
    <w:p w14:paraId="228F6F78" w14:textId="6DF59162" w:rsidR="00FC30C5" w:rsidRDefault="00390B8B">
      <w:r>
        <w:t>Pour cha</w:t>
      </w:r>
      <w:r w:rsidR="00C15546">
        <w:t>que Action d’A</w:t>
      </w:r>
      <w:r>
        <w:t>morçage, u</w:t>
      </w:r>
      <w:r w:rsidR="00FC30C5">
        <w:t xml:space="preserve">ne réunion de démarrage </w:t>
      </w:r>
      <w:r w:rsidR="00A90804">
        <w:t xml:space="preserve">est </w:t>
      </w:r>
      <w:r w:rsidR="00FC30C5">
        <w:t xml:space="preserve">organisée par les porteurs </w:t>
      </w:r>
      <w:r w:rsidR="00D776E7">
        <w:t>avec les</w:t>
      </w:r>
      <w:r w:rsidR="0070348C">
        <w:t xml:space="preserve"> partenaires, contributeurs et d</w:t>
      </w:r>
      <w:r w:rsidR="00D776E7">
        <w:t xml:space="preserve">es membres du Bureau </w:t>
      </w:r>
      <w:r w:rsidR="0070348C">
        <w:t>du programme</w:t>
      </w:r>
      <w:r>
        <w:t xml:space="preserve"> ou leur</w:t>
      </w:r>
      <w:r w:rsidR="00000172">
        <w:t>s</w:t>
      </w:r>
      <w:r>
        <w:t xml:space="preserve"> représentant</w:t>
      </w:r>
      <w:r w:rsidR="00000172">
        <w:t>s</w:t>
      </w:r>
      <w:r w:rsidR="00D776E7">
        <w:t>. U</w:t>
      </w:r>
      <w:r w:rsidR="00FC30C5">
        <w:t>n rapport final</w:t>
      </w:r>
      <w:r w:rsidR="007543FC">
        <w:t xml:space="preserve"> synthétique</w:t>
      </w:r>
      <w:r w:rsidR="00992E74">
        <w:t xml:space="preserve"> de quelques pages</w:t>
      </w:r>
      <w:r w:rsidR="00FC30C5">
        <w:t xml:space="preserve"> </w:t>
      </w:r>
      <w:r w:rsidR="007B569D">
        <w:t>est</w:t>
      </w:r>
      <w:r w:rsidR="00B63BB0">
        <w:t xml:space="preserve"> </w:t>
      </w:r>
      <w:r w:rsidR="00992E74">
        <w:t>produit par les porteurs</w:t>
      </w:r>
      <w:r w:rsidR="00FC30C5">
        <w:t xml:space="preserve"> à la fin </w:t>
      </w:r>
      <w:r w:rsidR="007B569D">
        <w:t>de l’Action d’Amorçage. Ce rapport</w:t>
      </w:r>
      <w:r w:rsidR="00A90804">
        <w:t xml:space="preserve"> </w:t>
      </w:r>
      <w:r w:rsidR="00992E74">
        <w:t xml:space="preserve">doit </w:t>
      </w:r>
      <w:r w:rsidR="007B569D">
        <w:t>présente</w:t>
      </w:r>
      <w:r w:rsidR="00992E74">
        <w:t>r</w:t>
      </w:r>
      <w:r w:rsidR="00FC30C5">
        <w:t xml:space="preserve"> les résultats obtenus préfigurant, o</w:t>
      </w:r>
      <w:r w:rsidR="00E50DBD">
        <w:t>u pas, une candidature pour un P</w:t>
      </w:r>
      <w:r w:rsidR="00FC30C5">
        <w:t xml:space="preserve">rojet </w:t>
      </w:r>
      <w:r w:rsidR="00E50DBD">
        <w:t>S</w:t>
      </w:r>
      <w:r w:rsidR="0070348C">
        <w:t xml:space="preserve">tructurant du programme </w:t>
      </w:r>
      <w:r w:rsidR="00E50DBD">
        <w:t>Recherche à Risque</w:t>
      </w:r>
      <w:r w:rsidR="00000172">
        <w:t xml:space="preserve"> </w:t>
      </w:r>
      <w:r w:rsidR="0070348C">
        <w:t xml:space="preserve">du CEA </w:t>
      </w:r>
      <w:r w:rsidR="00FC30C5">
        <w:t xml:space="preserve">et contenir un bilan simplifié des dépenses réalisées. Les éventuelles publications ou éventuels brevets </w:t>
      </w:r>
      <w:r w:rsidR="007B569D">
        <w:t xml:space="preserve">sont </w:t>
      </w:r>
      <w:r w:rsidR="00992E74">
        <w:t>indiqués</w:t>
      </w:r>
      <w:r w:rsidR="00FC30C5">
        <w:t xml:space="preserve"> dans le rapport.</w:t>
      </w:r>
    </w:p>
    <w:p w14:paraId="73B4042A" w14:textId="639F1C43" w:rsidR="00FC30C5" w:rsidRDefault="00FC30C5">
      <w:r>
        <w:t xml:space="preserve">Il n’est pas demandé de </w:t>
      </w:r>
      <w:r w:rsidR="0070348C">
        <w:t xml:space="preserve">suivi formalisé mais le bureau </w:t>
      </w:r>
      <w:r w:rsidR="00992E74">
        <w:t>organise</w:t>
      </w:r>
      <w:r w:rsidR="0070348C">
        <w:t xml:space="preserve"> des visites des équipes impliquées</w:t>
      </w:r>
      <w:r>
        <w:t>. En cas de difficultés, les porteurs contacte</w:t>
      </w:r>
      <w:r w:rsidR="00992E74">
        <w:t>nt</w:t>
      </w:r>
      <w:r>
        <w:t xml:space="preserve"> les </w:t>
      </w:r>
      <w:r w:rsidR="0070348C">
        <w:t>membres du bureau</w:t>
      </w:r>
      <w:r>
        <w:t xml:space="preserve">. </w:t>
      </w:r>
    </w:p>
    <w:p w14:paraId="275E9FF3" w14:textId="32E9E64F" w:rsidR="008B27C9" w:rsidRDefault="008B27C9">
      <w:r>
        <w:t xml:space="preserve">Les porteurs </w:t>
      </w:r>
      <w:r w:rsidR="00A90804">
        <w:t xml:space="preserve">peuvent </w:t>
      </w:r>
      <w:r>
        <w:t>être sollicités pour présenter les résultats au Bureau ou lors d’un séminaire.</w:t>
      </w:r>
    </w:p>
    <w:p w14:paraId="5C10BA97" w14:textId="77777777" w:rsidR="00392BAE" w:rsidRDefault="00392BAE"/>
    <w:p w14:paraId="34073471" w14:textId="77777777" w:rsidR="005D0FFF" w:rsidRDefault="00392BAE" w:rsidP="00D776E7">
      <w:pPr>
        <w:pStyle w:val="Titre2"/>
      </w:pPr>
      <w:r>
        <w:t>Les engagements</w:t>
      </w:r>
      <w:r w:rsidR="005D0FFF">
        <w:t xml:space="preserve"> et contractualisation</w:t>
      </w:r>
    </w:p>
    <w:p w14:paraId="2383DB5F" w14:textId="137B89E2" w:rsidR="00392BAE" w:rsidRDefault="005D0FFF" w:rsidP="005D0FFF">
      <w:r>
        <w:t xml:space="preserve">Par souci de simplification pour ces actions de petite ampleur, le CEA </w:t>
      </w:r>
      <w:r w:rsidR="00A90804">
        <w:t xml:space="preserve">prend </w:t>
      </w:r>
      <w:r>
        <w:t xml:space="preserve">dans </w:t>
      </w:r>
      <w:r w:rsidR="00992E74">
        <w:t xml:space="preserve">toute </w:t>
      </w:r>
      <w:r w:rsidR="007B569D">
        <w:t xml:space="preserve">la </w:t>
      </w:r>
      <w:r>
        <w:t>mesure du possible directement en charge les dépenses</w:t>
      </w:r>
      <w:r w:rsidR="00AD30C3">
        <w:t>,</w:t>
      </w:r>
      <w:r>
        <w:t xml:space="preserve"> ce qui </w:t>
      </w:r>
      <w:r w:rsidR="00A90804">
        <w:t xml:space="preserve">doit </w:t>
      </w:r>
      <w:r>
        <w:t>permettre de ne pas mettre en place une contractualisation</w:t>
      </w:r>
      <w:r w:rsidR="00AD30C3">
        <w:t>,</w:t>
      </w:r>
      <w:r>
        <w:t xml:space="preserve"> les partenaires et </w:t>
      </w:r>
      <w:r w:rsidR="007B2BD6">
        <w:t xml:space="preserve">les porteurs </w:t>
      </w:r>
      <w:r w:rsidR="00D776E7">
        <w:t>s’engage</w:t>
      </w:r>
      <w:r>
        <w:t>a</w:t>
      </w:r>
      <w:r w:rsidR="00D776E7">
        <w:t xml:space="preserve">nt à contribuer au projet et à en assurer le suivi selon les bonnes </w:t>
      </w:r>
      <w:r>
        <w:t xml:space="preserve">règles d’une gestion de projet </w:t>
      </w:r>
      <w:r w:rsidR="00D776E7">
        <w:t xml:space="preserve">à l’image </w:t>
      </w:r>
      <w:r>
        <w:t>d’un projet ANR par exemple</w:t>
      </w:r>
      <w:r w:rsidR="00D776E7">
        <w:t>.</w:t>
      </w:r>
      <w:r>
        <w:t xml:space="preserve"> Si un reversement </w:t>
      </w:r>
      <w:r w:rsidR="00A90804">
        <w:t xml:space="preserve">est </w:t>
      </w:r>
      <w:r w:rsidR="00E50DBD">
        <w:t>nécessaire pour certaines Actions d’A</w:t>
      </w:r>
      <w:r>
        <w:t>morçage</w:t>
      </w:r>
      <w:r w:rsidR="00000172">
        <w:t>,</w:t>
      </w:r>
      <w:r>
        <w:t xml:space="preserve"> une convention </w:t>
      </w:r>
      <w:r w:rsidR="00A90804">
        <w:t xml:space="preserve">est </w:t>
      </w:r>
      <w:r>
        <w:t>mise en place. De même si un accord de consortium s’</w:t>
      </w:r>
      <w:r w:rsidR="00555DD1">
        <w:t>avère</w:t>
      </w:r>
      <w:r w:rsidR="00E50DBD">
        <w:t xml:space="preserve"> indispensable pour certaines Actions d’A</w:t>
      </w:r>
      <w:r>
        <w:t>morçage</w:t>
      </w:r>
      <w:r w:rsidR="00000172">
        <w:t>,</w:t>
      </w:r>
      <w:r>
        <w:t xml:space="preserve"> un</w:t>
      </w:r>
      <w:r w:rsidR="007B2BD6">
        <w:t xml:space="preserve"> accord de consortium de type PEPR (ou </w:t>
      </w:r>
      <w:r>
        <w:t>lettre d’engagement</w:t>
      </w:r>
      <w:r w:rsidR="007B2BD6">
        <w:t xml:space="preserve">) </w:t>
      </w:r>
      <w:r w:rsidR="00A90804">
        <w:t xml:space="preserve">est </w:t>
      </w:r>
      <w:r>
        <w:t xml:space="preserve">mis en place.    </w:t>
      </w:r>
    </w:p>
    <w:p w14:paraId="14839F82" w14:textId="77777777" w:rsidR="00392BAE" w:rsidRDefault="00392BAE"/>
    <w:p w14:paraId="188B0975" w14:textId="77777777" w:rsidR="00392BAE" w:rsidRDefault="00392BAE" w:rsidP="008B27C9">
      <w:pPr>
        <w:pStyle w:val="Titre2"/>
      </w:pPr>
      <w:r>
        <w:t>Aide et questions</w:t>
      </w:r>
    </w:p>
    <w:p w14:paraId="031D3D4A" w14:textId="403802FF" w:rsidR="002934B5" w:rsidRDefault="008B27C9">
      <w:r>
        <w:t xml:space="preserve">En cas de question, </w:t>
      </w:r>
      <w:r w:rsidR="004A6A95">
        <w:t xml:space="preserve">visitez </w:t>
      </w:r>
      <w:hyperlink r:id="rId9" w:history="1">
        <w:r w:rsidR="004A6A95" w:rsidRPr="004A6A95">
          <w:rPr>
            <w:rStyle w:val="Lienhypertexte"/>
            <w:rFonts w:ascii="Arial" w:hAnsi="Arial" w:cs="Arial"/>
            <w:szCs w:val="20"/>
          </w:rPr>
          <w:t>la page de l’annonce du programme</w:t>
        </w:r>
        <w:r w:rsidR="004A6A95">
          <w:rPr>
            <w:rStyle w:val="Lienhypertexte"/>
            <w:rFonts w:ascii="Arial" w:hAnsi="Arial" w:cs="Arial"/>
            <w:szCs w:val="20"/>
          </w:rPr>
          <w:t>.</w:t>
        </w:r>
      </w:hyperlink>
      <w:r w:rsidR="004A6A95">
        <w:t xml:space="preserve"> ou </w:t>
      </w:r>
      <w:r>
        <w:t xml:space="preserve">contactez </w:t>
      </w:r>
      <w:r w:rsidR="0070348C">
        <w:t>un membre du bureau</w:t>
      </w:r>
      <w:r w:rsidR="007B2BD6">
        <w:t xml:space="preserve"> ou</w:t>
      </w:r>
      <w:r w:rsidR="0070348C">
        <w:t xml:space="preserve"> </w:t>
      </w:r>
      <w:r>
        <w:t>envoye</w:t>
      </w:r>
      <w:r w:rsidR="007B2BD6">
        <w:t>z</w:t>
      </w:r>
      <w:r>
        <w:t xml:space="preserve"> vos questions à l’adresse</w:t>
      </w:r>
      <w:r w:rsidR="002934B5">
        <w:t xml:space="preserve"> </w:t>
      </w:r>
      <w:hyperlink r:id="rId10" w:history="1">
        <w:r w:rsidR="002934B5" w:rsidRPr="009E1144">
          <w:rPr>
            <w:rStyle w:val="Lienhypertexte"/>
          </w:rPr>
          <w:t>amorcage-rar@cea.fr</w:t>
        </w:r>
      </w:hyperlink>
      <w:r w:rsidR="002934B5">
        <w:t>.</w:t>
      </w:r>
    </w:p>
    <w:p w14:paraId="28F68F11" w14:textId="6F3175D0" w:rsidR="00392BAE" w:rsidRDefault="00392BAE"/>
    <w:p w14:paraId="5E5CD57A" w14:textId="2A769119" w:rsidR="009C2BD7" w:rsidRDefault="009C2BD7"/>
    <w:p w14:paraId="6202841F" w14:textId="37268968" w:rsidR="009C2BD7" w:rsidRDefault="009C2BD7" w:rsidP="009C2BD7">
      <w:pPr>
        <w:spacing w:after="160" w:line="259" w:lineRule="auto"/>
        <w:jc w:val="left"/>
      </w:pPr>
    </w:p>
    <w:sectPr w:rsidR="009C2BD7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F73B" w14:textId="77777777" w:rsidR="00D53EB1" w:rsidRDefault="00D53EB1" w:rsidP="00161523">
      <w:r>
        <w:separator/>
      </w:r>
    </w:p>
  </w:endnote>
  <w:endnote w:type="continuationSeparator" w:id="0">
    <w:p w14:paraId="54097975" w14:textId="77777777" w:rsidR="00D53EB1" w:rsidRDefault="00D53EB1" w:rsidP="0016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C4C4" w14:textId="77777777" w:rsidR="00D53EB1" w:rsidRDefault="00D53EB1" w:rsidP="00161523">
      <w:r>
        <w:separator/>
      </w:r>
    </w:p>
  </w:footnote>
  <w:footnote w:type="continuationSeparator" w:id="0">
    <w:p w14:paraId="50C17955" w14:textId="77777777" w:rsidR="00D53EB1" w:rsidRDefault="00D53EB1" w:rsidP="00161523">
      <w:r>
        <w:continuationSeparator/>
      </w:r>
    </w:p>
  </w:footnote>
  <w:footnote w:id="1">
    <w:p w14:paraId="2936A7C4" w14:textId="07338435" w:rsidR="00883441" w:rsidRPr="00C93A80" w:rsidRDefault="00883441">
      <w:pPr>
        <w:pStyle w:val="Notedebasdepage"/>
        <w:rPr>
          <w:sz w:val="18"/>
        </w:rPr>
      </w:pPr>
      <w:r w:rsidRPr="00C93A80">
        <w:rPr>
          <w:rStyle w:val="Appelnotedebasdep"/>
          <w:sz w:val="18"/>
        </w:rPr>
        <w:footnoteRef/>
      </w:r>
      <w:r w:rsidRPr="00C93A80">
        <w:rPr>
          <w:sz w:val="18"/>
        </w:rPr>
        <w:t xml:space="preserve"> </w:t>
      </w:r>
      <w:proofErr w:type="gramStart"/>
      <w:r w:rsidRPr="00C93A80">
        <w:rPr>
          <w:sz w:val="18"/>
        </w:rPr>
        <w:t>autour</w:t>
      </w:r>
      <w:proofErr w:type="gramEnd"/>
      <w:r w:rsidRPr="00C93A80">
        <w:rPr>
          <w:sz w:val="18"/>
        </w:rPr>
        <w:t xml:space="preserve"> de 3 M€ au total pour une durée maximale de 4 ans</w:t>
      </w:r>
    </w:p>
  </w:footnote>
  <w:footnote w:id="2">
    <w:p w14:paraId="39235CF8" w14:textId="6DF7553F" w:rsidR="00115BDE" w:rsidRPr="00C93A80" w:rsidRDefault="00115BDE">
      <w:pPr>
        <w:pStyle w:val="Notedebasdepage"/>
        <w:rPr>
          <w:sz w:val="18"/>
        </w:rPr>
      </w:pPr>
      <w:r w:rsidRPr="00C93A80">
        <w:rPr>
          <w:rStyle w:val="Appelnotedebasdep"/>
          <w:sz w:val="18"/>
        </w:rPr>
        <w:footnoteRef/>
      </w:r>
      <w:r w:rsidRPr="00C93A80">
        <w:rPr>
          <w:sz w:val="18"/>
        </w:rPr>
        <w:t xml:space="preserve"> </w:t>
      </w:r>
      <w:proofErr w:type="gramStart"/>
      <w:r w:rsidR="00113911">
        <w:rPr>
          <w:sz w:val="18"/>
        </w:rPr>
        <w:t>u</w:t>
      </w:r>
      <w:r w:rsidR="00E50DBD">
        <w:rPr>
          <w:sz w:val="18"/>
        </w:rPr>
        <w:t>ne</w:t>
      </w:r>
      <w:proofErr w:type="gramEnd"/>
      <w:r w:rsidR="00E50DBD">
        <w:rPr>
          <w:sz w:val="18"/>
        </w:rPr>
        <w:t xml:space="preserve"> Action d’A</w:t>
      </w:r>
      <w:r w:rsidR="00113911" w:rsidRPr="00113911">
        <w:rPr>
          <w:sz w:val="18"/>
        </w:rPr>
        <w:t>morçage, si elle ne débouchait pas sur</w:t>
      </w:r>
      <w:r w:rsidR="00E50DBD">
        <w:rPr>
          <w:sz w:val="18"/>
        </w:rPr>
        <w:t xml:space="preserve"> un projet retenu au titre des Projets S</w:t>
      </w:r>
      <w:r w:rsidR="00113911" w:rsidRPr="00113911">
        <w:rPr>
          <w:sz w:val="18"/>
        </w:rPr>
        <w:t xml:space="preserve">tructurants, pourrait être poursuivie sous </w:t>
      </w:r>
      <w:r w:rsidR="00E50DBD">
        <w:rPr>
          <w:sz w:val="18"/>
        </w:rPr>
        <w:t xml:space="preserve">une autre </w:t>
      </w:r>
      <w:r w:rsidR="00113911" w:rsidRPr="00113911">
        <w:rPr>
          <w:sz w:val="18"/>
        </w:rPr>
        <w:t xml:space="preserve">forme </w:t>
      </w:r>
      <w:r w:rsidR="00E50DBD">
        <w:rPr>
          <w:sz w:val="18"/>
        </w:rPr>
        <w:t xml:space="preserve">comme </w:t>
      </w:r>
      <w:r w:rsidR="00113911" w:rsidRPr="00113911">
        <w:rPr>
          <w:sz w:val="18"/>
        </w:rPr>
        <w:t xml:space="preserve">un projet ANR, </w:t>
      </w:r>
      <w:r w:rsidR="006576EC">
        <w:rPr>
          <w:sz w:val="18"/>
        </w:rPr>
        <w:t>ou un projet</w:t>
      </w:r>
      <w:r w:rsidR="00113911" w:rsidRPr="00113911">
        <w:rPr>
          <w:sz w:val="18"/>
        </w:rPr>
        <w:t xml:space="preserve"> ERC</w:t>
      </w:r>
    </w:p>
  </w:footnote>
  <w:footnote w:id="3">
    <w:p w14:paraId="39FB84B1" w14:textId="3707FBA4" w:rsidR="00474113" w:rsidRPr="00C93A80" w:rsidRDefault="00474113">
      <w:pPr>
        <w:pStyle w:val="Notedebasdepage"/>
        <w:rPr>
          <w:sz w:val="18"/>
        </w:rPr>
      </w:pPr>
      <w:r w:rsidRPr="00C93A80">
        <w:rPr>
          <w:rStyle w:val="Appelnotedebasdep"/>
          <w:sz w:val="18"/>
        </w:rPr>
        <w:footnoteRef/>
      </w:r>
      <w:r w:rsidR="00F3289D" w:rsidRPr="00C93A80">
        <w:rPr>
          <w:sz w:val="18"/>
        </w:rPr>
        <w:t xml:space="preserve"> </w:t>
      </w:r>
      <w:proofErr w:type="gramStart"/>
      <w:r w:rsidR="00F3289D" w:rsidRPr="00C93A80">
        <w:rPr>
          <w:sz w:val="18"/>
        </w:rPr>
        <w:t>l</w:t>
      </w:r>
      <w:r w:rsidRPr="00C93A80">
        <w:rPr>
          <w:sz w:val="18"/>
        </w:rPr>
        <w:t>a</w:t>
      </w:r>
      <w:proofErr w:type="gramEnd"/>
      <w:r w:rsidRPr="00C93A80">
        <w:rPr>
          <w:sz w:val="18"/>
        </w:rPr>
        <w:t xml:space="preserve"> durée pourrait être portée à 2 ans maximum si l’</w:t>
      </w:r>
      <w:r w:rsidR="00E50DBD">
        <w:rPr>
          <w:sz w:val="18"/>
        </w:rPr>
        <w:t>Action d’A</w:t>
      </w:r>
      <w:r w:rsidRPr="00C93A80">
        <w:rPr>
          <w:sz w:val="18"/>
        </w:rPr>
        <w:t>morçage le justifie.</w:t>
      </w:r>
    </w:p>
  </w:footnote>
  <w:footnote w:id="4">
    <w:p w14:paraId="2DEFEEC4" w14:textId="46A9DA4E" w:rsidR="000C2E38" w:rsidRDefault="000C2E38">
      <w:pPr>
        <w:pStyle w:val="Notedebasdepage"/>
      </w:pPr>
      <w:r w:rsidRPr="00C93A80">
        <w:rPr>
          <w:rStyle w:val="Appelnotedebasdep"/>
          <w:sz w:val="18"/>
        </w:rPr>
        <w:footnoteRef/>
      </w:r>
      <w:r w:rsidRPr="00C93A80">
        <w:rPr>
          <w:sz w:val="18"/>
        </w:rPr>
        <w:t xml:space="preserve"> </w:t>
      </w:r>
      <w:proofErr w:type="gramStart"/>
      <w:r w:rsidR="00F3289D" w:rsidRPr="00C93A80">
        <w:rPr>
          <w:sz w:val="18"/>
        </w:rPr>
        <w:t>l</w:t>
      </w:r>
      <w:r w:rsidRPr="00C93A80">
        <w:rPr>
          <w:sz w:val="18"/>
        </w:rPr>
        <w:t>e</w:t>
      </w:r>
      <w:proofErr w:type="gramEnd"/>
      <w:r w:rsidRPr="00C93A80">
        <w:rPr>
          <w:sz w:val="18"/>
        </w:rPr>
        <w:t xml:space="preserve"> terme « action » doit être pris au sens large : démarrage de preuve de concept, analyse d’antériorité, construction d’un consortium ou animation pour explorer de nouvelles idées</w:t>
      </w:r>
      <w:r w:rsidR="00992E74">
        <w:rPr>
          <w:sz w:val="18"/>
        </w:rPr>
        <w:t>…</w:t>
      </w:r>
      <w:r w:rsidRPr="00C93A80">
        <w:rPr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59559" w14:textId="2588132F" w:rsidR="00612E14" w:rsidRDefault="00612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C2DD" w14:textId="7054C5B1" w:rsidR="00161523" w:rsidRDefault="00F464A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A2C00C" wp14:editId="68F6757F">
              <wp:simplePos x="0" y="0"/>
              <wp:positionH relativeFrom="margin">
                <wp:posOffset>391795</wp:posOffset>
              </wp:positionH>
              <wp:positionV relativeFrom="page">
                <wp:posOffset>274320</wp:posOffset>
              </wp:positionV>
              <wp:extent cx="5093970" cy="269875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397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10D0117" w14:textId="6D238240" w:rsidR="00161523" w:rsidRDefault="00161523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61523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Appel à lettre d’inten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tion </w:t>
                              </w:r>
                              <w:r w:rsidRPr="00161523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pour les actions d’amorçage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                                                                           </w:t>
                              </w:r>
                              <w:r w:rsidRPr="00161523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du Programme Recherche à Risque CEA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A2C00C" id="Rectangle 197" o:spid="_x0000_s1026" style="position:absolute;left:0;text-align:left;margin-left:30.85pt;margin-top:21.6pt;width:401.1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10D0117" w14:textId="6D238240" w:rsidR="00161523" w:rsidRDefault="00161523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61523">
                          <w:rPr>
                            <w:b/>
                            <w:caps/>
                            <w:color w:val="FFFFFF" w:themeColor="background1"/>
                          </w:rPr>
                          <w:t>Appel à lettre d’inten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tion </w:t>
                        </w:r>
                        <w:r w:rsidRPr="00161523">
                          <w:rPr>
                            <w:b/>
                            <w:caps/>
                            <w:color w:val="FFFFFF" w:themeColor="background1"/>
                          </w:rPr>
                          <w:t xml:space="preserve">pour les actions d’amorçage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 xml:space="preserve">                                                                           </w:t>
                        </w:r>
                        <w:r w:rsidRPr="00161523">
                          <w:rPr>
                            <w:b/>
                            <w:caps/>
                            <w:color w:val="FFFFFF" w:themeColor="background1"/>
                          </w:rPr>
                          <w:t>du Programme Recherche à Risque CEA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1A3E2B9" wp14:editId="0D29303F">
          <wp:simplePos x="0" y="0"/>
          <wp:positionH relativeFrom="column">
            <wp:posOffset>-712470</wp:posOffset>
          </wp:positionH>
          <wp:positionV relativeFrom="paragraph">
            <wp:posOffset>-240665</wp:posOffset>
          </wp:positionV>
          <wp:extent cx="902970" cy="494649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ce 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494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309C" w14:textId="64F852A9" w:rsidR="00612E14" w:rsidRDefault="00612E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5560"/>
    <w:multiLevelType w:val="hybridMultilevel"/>
    <w:tmpl w:val="4EB4E9C4"/>
    <w:lvl w:ilvl="0" w:tplc="ADA6590C">
      <w:start w:val="1"/>
      <w:numFmt w:val="bullet"/>
      <w:pStyle w:val="Sansinterlign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65C389E"/>
    <w:multiLevelType w:val="hybridMultilevel"/>
    <w:tmpl w:val="981870B4"/>
    <w:lvl w:ilvl="0" w:tplc="E42C07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F31A0C"/>
    <w:multiLevelType w:val="hybridMultilevel"/>
    <w:tmpl w:val="93EE9D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D7"/>
    <w:rsid w:val="00000172"/>
    <w:rsid w:val="000447ED"/>
    <w:rsid w:val="000A0C1D"/>
    <w:rsid w:val="000B1639"/>
    <w:rsid w:val="000C2E38"/>
    <w:rsid w:val="00113911"/>
    <w:rsid w:val="00115BDE"/>
    <w:rsid w:val="00161523"/>
    <w:rsid w:val="001B7B25"/>
    <w:rsid w:val="001F617A"/>
    <w:rsid w:val="0020460B"/>
    <w:rsid w:val="00204A78"/>
    <w:rsid w:val="002934B5"/>
    <w:rsid w:val="002D2284"/>
    <w:rsid w:val="002D6E71"/>
    <w:rsid w:val="00390B8B"/>
    <w:rsid w:val="00392BAE"/>
    <w:rsid w:val="003B6B69"/>
    <w:rsid w:val="003E4081"/>
    <w:rsid w:val="00407BC0"/>
    <w:rsid w:val="00441E95"/>
    <w:rsid w:val="00446E37"/>
    <w:rsid w:val="00474113"/>
    <w:rsid w:val="004A4293"/>
    <w:rsid w:val="004A6A95"/>
    <w:rsid w:val="004A73C0"/>
    <w:rsid w:val="004D7216"/>
    <w:rsid w:val="004F339C"/>
    <w:rsid w:val="00522D2D"/>
    <w:rsid w:val="00543912"/>
    <w:rsid w:val="00555DD1"/>
    <w:rsid w:val="005D0FFF"/>
    <w:rsid w:val="00612E14"/>
    <w:rsid w:val="00636DD2"/>
    <w:rsid w:val="00651CA1"/>
    <w:rsid w:val="006576EC"/>
    <w:rsid w:val="006729BC"/>
    <w:rsid w:val="0068535E"/>
    <w:rsid w:val="00685905"/>
    <w:rsid w:val="006A7063"/>
    <w:rsid w:val="0070348C"/>
    <w:rsid w:val="00744C55"/>
    <w:rsid w:val="007543FC"/>
    <w:rsid w:val="0076413E"/>
    <w:rsid w:val="00790D34"/>
    <w:rsid w:val="007A5E6D"/>
    <w:rsid w:val="007B2BD6"/>
    <w:rsid w:val="007B569D"/>
    <w:rsid w:val="007C7D74"/>
    <w:rsid w:val="007F220D"/>
    <w:rsid w:val="0085407B"/>
    <w:rsid w:val="00857E72"/>
    <w:rsid w:val="00883441"/>
    <w:rsid w:val="008B27C9"/>
    <w:rsid w:val="008C7C00"/>
    <w:rsid w:val="00925AAB"/>
    <w:rsid w:val="00932303"/>
    <w:rsid w:val="00963D9C"/>
    <w:rsid w:val="00992E74"/>
    <w:rsid w:val="009B3565"/>
    <w:rsid w:val="009C2BD7"/>
    <w:rsid w:val="009D7439"/>
    <w:rsid w:val="00A45BD1"/>
    <w:rsid w:val="00A625B6"/>
    <w:rsid w:val="00A90804"/>
    <w:rsid w:val="00AD30C3"/>
    <w:rsid w:val="00AE5AFA"/>
    <w:rsid w:val="00B16FE7"/>
    <w:rsid w:val="00B17BBA"/>
    <w:rsid w:val="00B41CC3"/>
    <w:rsid w:val="00B63BB0"/>
    <w:rsid w:val="00B85E6F"/>
    <w:rsid w:val="00B862BE"/>
    <w:rsid w:val="00C15546"/>
    <w:rsid w:val="00C157DE"/>
    <w:rsid w:val="00C16CD7"/>
    <w:rsid w:val="00C27123"/>
    <w:rsid w:val="00C50C56"/>
    <w:rsid w:val="00C51625"/>
    <w:rsid w:val="00C6760D"/>
    <w:rsid w:val="00C93A80"/>
    <w:rsid w:val="00CA1084"/>
    <w:rsid w:val="00CA1169"/>
    <w:rsid w:val="00D16311"/>
    <w:rsid w:val="00D30B9B"/>
    <w:rsid w:val="00D53EB1"/>
    <w:rsid w:val="00D544AA"/>
    <w:rsid w:val="00D776E7"/>
    <w:rsid w:val="00DD5785"/>
    <w:rsid w:val="00DE23A3"/>
    <w:rsid w:val="00E27F49"/>
    <w:rsid w:val="00E30AEC"/>
    <w:rsid w:val="00E50DBD"/>
    <w:rsid w:val="00E52A01"/>
    <w:rsid w:val="00E66516"/>
    <w:rsid w:val="00EA0341"/>
    <w:rsid w:val="00EA7CAA"/>
    <w:rsid w:val="00F006EA"/>
    <w:rsid w:val="00F04ABC"/>
    <w:rsid w:val="00F3289D"/>
    <w:rsid w:val="00F3698C"/>
    <w:rsid w:val="00F464A2"/>
    <w:rsid w:val="00F76351"/>
    <w:rsid w:val="00F818EF"/>
    <w:rsid w:val="00F8693F"/>
    <w:rsid w:val="00F87E31"/>
    <w:rsid w:val="00F97E07"/>
    <w:rsid w:val="00FA02D5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51849"/>
  <w15:chartTrackingRefBased/>
  <w15:docId w15:val="{DD4F1A10-7D46-4C15-A711-B068245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49"/>
    <w:pPr>
      <w:spacing w:after="0" w:line="240" w:lineRule="auto"/>
      <w:jc w:val="both"/>
    </w:pPr>
    <w:rPr>
      <w:rFonts w:ascii="Calibri" w:hAnsi="Calibri" w:cs="Times New Roman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C7C00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olor w:val="0000FF"/>
      <w:sz w:val="24"/>
      <w:szCs w:val="32"/>
    </w:rPr>
  </w:style>
  <w:style w:type="paragraph" w:styleId="Titre2">
    <w:name w:val="heading 2"/>
    <w:basedOn w:val="Normal"/>
    <w:link w:val="Titre2Car"/>
    <w:autoRedefine/>
    <w:uiPriority w:val="9"/>
    <w:unhideWhenUsed/>
    <w:qFormat/>
    <w:rsid w:val="00CA1084"/>
    <w:pPr>
      <w:keepNext/>
      <w:spacing w:before="40"/>
      <w:outlineLvl w:val="1"/>
    </w:pPr>
    <w:rPr>
      <w:rFonts w:ascii="Calibri Light" w:hAnsi="Calibri Light" w:cs="Calibri Light"/>
      <w:b/>
      <w:color w:val="0000FF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543912"/>
    <w:pPr>
      <w:ind w:left="113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C7C00"/>
    <w:rPr>
      <w:rFonts w:ascii="Calibri" w:eastAsiaTheme="majorEastAsia" w:hAnsi="Calibri" w:cstheme="majorBidi"/>
      <w:b/>
      <w:color w:val="0000FF"/>
      <w:sz w:val="24"/>
      <w:szCs w:val="32"/>
    </w:rPr>
  </w:style>
  <w:style w:type="paragraph" w:styleId="Sansinterligne">
    <w:name w:val="No Spacing"/>
    <w:aliases w:val="Paragraphe puce"/>
    <w:autoRedefine/>
    <w:uiPriority w:val="1"/>
    <w:qFormat/>
    <w:rsid w:val="00E27F49"/>
    <w:pPr>
      <w:numPr>
        <w:numId w:val="3"/>
      </w:numPr>
      <w:spacing w:after="0" w:line="240" w:lineRule="auto"/>
      <w:jc w:val="both"/>
    </w:pPr>
    <w:rPr>
      <w:rFonts w:ascii="Calibri" w:hAnsi="Calibri" w:cs="Calibri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A1084"/>
    <w:rPr>
      <w:rFonts w:ascii="Calibri Light" w:hAnsi="Calibri Light" w:cs="Calibri Light"/>
      <w:b/>
      <w:color w:val="0000FF"/>
      <w:szCs w:val="26"/>
    </w:rPr>
  </w:style>
  <w:style w:type="character" w:styleId="Lienhypertexte">
    <w:name w:val="Hyperlink"/>
    <w:basedOn w:val="Policepardfaut"/>
    <w:uiPriority w:val="99"/>
    <w:unhideWhenUsed/>
    <w:rsid w:val="00B862B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A0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34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341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341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3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341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6152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5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523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615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523"/>
    <w:rPr>
      <w:rFonts w:ascii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3441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3441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3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cage-rar@cea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orcage-rar@cea.fr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cea.fr/drf/Pages/La-recherche/Le-programme-Recherche-%C3%A0-risque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AA6915E931963B45A609DFF55C5DA0EB" ma:contentTypeVersion="20" ma:contentTypeDescription="Crée un document." ma:contentTypeScope="" ma:versionID="088796ad1930642ca577ea123b8c3402">
  <xsd:schema xmlns:xsd="http://www.w3.org/2001/XMLSchema" xmlns:xs="http://www.w3.org/2001/XMLSchema" xmlns:p="http://schemas.microsoft.com/office/2006/metadata/properties" xmlns:ns1="http://schemas.microsoft.com/sharepoint/v3" xmlns:ns2="f9241b2d-fd18-4b43-a8c6-d81a4f17d4ef" xmlns:ns3="25ab6918-e79e-461c-be65-ccc64e8e92f9" targetNamespace="http://schemas.microsoft.com/office/2006/metadata/properties" ma:root="true" ma:fieldsID="5f85f6bb5b27f62b8438b45594b8de32" ns1:_="" ns2:_="" ns3:_="">
    <xsd:import namespace="http://schemas.microsoft.com/sharepoint/v3"/>
    <xsd:import namespace="f9241b2d-fd18-4b43-a8c6-d81a4f17d4ef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b2d-fd18-4b43-a8c6-d81a4f17d4ef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igPictureUrl xmlns="f9241b2d-fd18-4b43-a8c6-d81a4f17d4ef" xsi:nil="true"/>
    <DisplayedDate xmlns="f9241b2d-fd18-4b43-a8c6-d81a4f17d4ef">2024-04-16T07:32:30+00:00</DisplayedDate>
    <ThumbnailImageUrl xmlns="f9241b2d-fd18-4b43-a8c6-d81a4f17d4ef" xsi:nil="true"/>
    <OrganisationTaxHTField0 xmlns="f9241b2d-fd18-4b43-a8c6-d81a4f17d4ef">
      <Terms xmlns="http://schemas.microsoft.com/office/infopath/2007/PartnerControls"/>
    </OrganisationTaxHTField0>
    <CenterAndUnitTaxHTField0 xmlns="f9241b2d-fd18-4b43-a8c6-d81a4f17d4ef">
      <Terms xmlns="http://schemas.microsoft.com/office/infopath/2007/PartnerControls"/>
    </CenterAndUnitTaxHTField0>
    <ThumbnailImage xmlns="f9241b2d-fd18-4b43-a8c6-d81a4f17d4ef" xsi:nil="true"/>
    <BigPicture xmlns="f9241b2d-fd18-4b43-a8c6-d81a4f17d4ef" xsi:nil="true"/>
    <ManualDate xmlns="f9241b2d-fd18-4b43-a8c6-d81a4f17d4ef" xsi:nil="true"/>
    <TaxCatchAll xmlns="25ab6918-e79e-461c-be65-ccc64e8e92f9"/>
    <TaxKeywordTaxHTField xmlns="25ab6918-e79e-461c-be65-ccc64e8e92f9">
      <Terms xmlns="http://schemas.microsoft.com/office/infopath/2007/PartnerControls"/>
    </TaxKeywordTaxHTField>
    <TypologyTaxHTField0 xmlns="f9241b2d-fd18-4b43-a8c6-d81a4f17d4ef">
      <Terms xmlns="http://schemas.microsoft.com/office/infopath/2007/PartnerControls"/>
    </TypologyTaxHTField0>
    <BackwardLinks xmlns="f9241b2d-fd18-4b43-a8c6-d81a4f17d4ef">1</BackwardLinks>
    <ThematicsTaxHTField0 xmlns="f9241b2d-fd18-4b43-a8c6-d81a4f17d4ef">
      <Terms xmlns="http://schemas.microsoft.com/office/infopath/2007/PartnerControls"/>
    </ThematicsTaxHTField0>
    <PublicTaxHTField0 xmlns="f9241b2d-fd18-4b43-a8c6-d81a4f17d4ef">
      <Terms xmlns="http://schemas.microsoft.com/office/infopath/2007/PartnerControls"/>
    </PublicTaxHTField0>
    <Summary xmlns="f9241b2d-fd18-4b43-a8c6-d81a4f17d4ef" xsi:nil="true"/>
  </documentManagement>
</p:properties>
</file>

<file path=customXml/itemProps1.xml><?xml version="1.0" encoding="utf-8"?>
<ds:datastoreItem xmlns:ds="http://schemas.openxmlformats.org/officeDocument/2006/customXml" ds:itemID="{00C673F3-1A89-4D3A-AC7F-9BA10C65E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90A3B-DBE1-48EB-8E39-62AECD0FFEDF}"/>
</file>

<file path=customXml/itemProps3.xml><?xml version="1.0" encoding="utf-8"?>
<ds:datastoreItem xmlns:ds="http://schemas.openxmlformats.org/officeDocument/2006/customXml" ds:itemID="{BFEA9043-36DB-48AB-9844-65C052BF3925}"/>
</file>

<file path=customXml/itemProps4.xml><?xml version="1.0" encoding="utf-8"?>
<ds:datastoreItem xmlns:ds="http://schemas.openxmlformats.org/officeDocument/2006/customXml" ds:itemID="{AEF92F54-1866-4F17-9D42-A524DF8F908D}"/>
</file>

<file path=customXml/itemProps5.xml><?xml version="1.0" encoding="utf-8"?>
<ds:datastoreItem xmlns:ds="http://schemas.openxmlformats.org/officeDocument/2006/customXml" ds:itemID="{16EDCB6E-3526-44BD-A01B-23403FB4F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lettre d’intention pour les actions d’amorçage                                                                            du Programme Recherche à Risque CEA</vt:lpstr>
    </vt:vector>
  </TitlesOfParts>
  <Company>CEA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lettre d’intention pour les actions d’amorçage                                                                            du Programme Recherche à Risque CEA</dc:title>
  <dc:subject/>
  <dc:creator>DELPECH Marc 137802</dc:creator>
  <cp:keywords/>
  <dc:description/>
  <cp:lastModifiedBy>GANIER Aude</cp:lastModifiedBy>
  <cp:revision>2</cp:revision>
  <dcterms:created xsi:type="dcterms:W3CDTF">2024-04-16T07:32:00Z</dcterms:created>
  <dcterms:modified xsi:type="dcterms:W3CDTF">2024-04-16T07:32:00Z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0x0101009AC65FE4C57B4241B7BB126C8204932100AA6915E931963B45A609DFF55C5DA0EB</vt:lpwstr>
  </property>
  <property fmtid="{D5CDD505-2E9C-101B-9397-08002B2CF9AE}" pid="3" name="TaxKeyword">
    <vt:lpwstr/>
  </property>
</Properties>
</file>